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Calibri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hAnsi="Calibri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华文中宋" w:hAnsi="Calibri" w:eastAsia="华文中宋" w:cs="宋体"/>
          <w:b/>
          <w:bCs/>
          <w:color w:val="000000"/>
          <w:kern w:val="0"/>
          <w:sz w:val="52"/>
          <w:szCs w:val="52"/>
        </w:rPr>
      </w:pPr>
      <w:r>
        <w:rPr>
          <w:rFonts w:hint="eastAsia" w:ascii="华文中宋" w:eastAsia="华文中宋" w:cs="宋体"/>
          <w:b/>
          <w:bCs/>
          <w:color w:val="000000"/>
          <w:kern w:val="0"/>
          <w:sz w:val="52"/>
          <w:szCs w:val="52"/>
        </w:rPr>
        <w:t>陕西省重点实验室开放</w:t>
      </w:r>
      <w:r>
        <w:rPr>
          <w:rFonts w:hint="eastAsia" w:ascii="华文中宋" w:hAnsi="Calibri" w:eastAsia="华文中宋" w:cs="宋体"/>
          <w:b/>
          <w:bCs/>
          <w:color w:val="000000"/>
          <w:kern w:val="0"/>
          <w:sz w:val="52"/>
          <w:szCs w:val="52"/>
        </w:rPr>
        <w:t>基金项目</w:t>
      </w:r>
    </w:p>
    <w:p>
      <w:pPr>
        <w:widowControl/>
        <w:jc w:val="center"/>
        <w:rPr>
          <w:rFonts w:ascii="华文中宋" w:hAnsi="Calibri" w:eastAsia="华文中宋" w:cs="宋体"/>
          <w:b/>
          <w:bCs/>
          <w:color w:val="000000"/>
          <w:kern w:val="0"/>
          <w:sz w:val="52"/>
          <w:szCs w:val="52"/>
        </w:rPr>
      </w:pPr>
      <w:r>
        <w:rPr>
          <w:rFonts w:hint="eastAsia" w:ascii="华文中宋" w:hAnsi="Calibri" w:eastAsia="华文中宋" w:cs="宋体"/>
          <w:b/>
          <w:bCs/>
          <w:color w:val="000000"/>
          <w:kern w:val="0"/>
          <w:sz w:val="52"/>
          <w:szCs w:val="52"/>
        </w:rPr>
        <w:t>2019年度课题指南</w:t>
      </w:r>
    </w:p>
    <w:p>
      <w:pPr>
        <w:widowControl/>
        <w:jc w:val="center"/>
        <w:rPr>
          <w:rFonts w:ascii="华文中宋" w:hAnsi="Calibri" w:eastAsia="华文中宋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黑体" w:hAnsi="Calibri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hAnsi="Calibri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hAnsi="Calibri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hAnsi="Calibri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hAnsi="Calibri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hAnsi="Calibri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hAnsi="Calibri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hAnsi="Calibri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黑体" w:hAnsi="Calibri" w:eastAsia="黑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ascii="楷体_GB2312" w:hAnsi="Calibri" w:eastAsia="楷体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楷体_GB2312" w:hAnsi="Calibri" w:eastAsia="楷体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楷体_GB2312" w:hAnsi="Calibri" w:eastAsia="楷体_GB2312" w:cs="宋体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ascii="楷体_GB2312" w:hAnsi="Calibri" w:eastAsia="楷体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楷体_GB2312" w:eastAsia="楷体_GB2312" w:cs="宋体"/>
          <w:b/>
          <w:bCs/>
          <w:color w:val="000000"/>
          <w:kern w:val="0"/>
          <w:sz w:val="36"/>
          <w:szCs w:val="36"/>
        </w:rPr>
        <w:t>网络数据分析与智能处理重点实验室</w:t>
      </w:r>
    </w:p>
    <w:p>
      <w:pPr>
        <w:widowControl/>
        <w:jc w:val="center"/>
        <w:rPr>
          <w:rFonts w:ascii="楷体_GB2312" w:hAnsi="Calibri" w:eastAsia="楷体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楷体_GB2312" w:hAnsi="Calibri" w:eastAsia="楷体_GB2312" w:cs="宋体"/>
          <w:b/>
          <w:bCs/>
          <w:color w:val="000000"/>
          <w:kern w:val="0"/>
          <w:sz w:val="36"/>
          <w:szCs w:val="36"/>
        </w:rPr>
        <w:t>2019年</w:t>
      </w:r>
      <w:r>
        <w:rPr>
          <w:rFonts w:hint="eastAsia" w:ascii="楷体_GB2312" w:hAnsi="Calibri" w:eastAsia="楷体_GB2312" w:cs="宋体"/>
          <w:b/>
          <w:bCs/>
          <w:color w:val="000000"/>
          <w:kern w:val="0"/>
          <w:sz w:val="36"/>
          <w:szCs w:val="36"/>
          <w:lang w:val="en-US" w:eastAsia="zh-CN"/>
        </w:rPr>
        <w:t>10</w:t>
      </w:r>
      <w:r>
        <w:rPr>
          <w:rFonts w:hint="eastAsia" w:ascii="楷体_GB2312" w:hAnsi="Calibri" w:eastAsia="楷体_GB2312" w:cs="宋体"/>
          <w:b/>
          <w:bCs/>
          <w:color w:val="000000"/>
          <w:kern w:val="0"/>
          <w:sz w:val="36"/>
          <w:szCs w:val="36"/>
        </w:rPr>
        <w:t>月</w:t>
      </w:r>
    </w:p>
    <w:p>
      <w:pPr>
        <w:widowControl/>
        <w:jc w:val="center"/>
        <w:rPr>
          <w:rFonts w:ascii="黑体" w:hAnsi="Calibri" w:eastAsia="黑体" w:cs="宋体"/>
          <w:b/>
          <w:bCs/>
          <w:color w:val="000000"/>
          <w:kern w:val="0"/>
          <w:sz w:val="44"/>
          <w:szCs w:val="44"/>
        </w:rPr>
      </w:pPr>
    </w:p>
    <w:p>
      <w:pPr>
        <w:spacing w:line="300" w:lineRule="auto"/>
        <w:jc w:val="center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spacing w:line="300" w:lineRule="auto"/>
        <w:jc w:val="center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spacing w:line="300" w:lineRule="auto"/>
        <w:jc w:val="center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陕西省网络数据分析与智能处理重点实验室</w:t>
      </w:r>
    </w:p>
    <w:p>
      <w:pPr>
        <w:spacing w:line="300" w:lineRule="auto"/>
        <w:jc w:val="center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简    介</w:t>
      </w:r>
    </w:p>
    <w:p>
      <w:pPr>
        <w:spacing w:line="300" w:lineRule="auto"/>
        <w:jc w:val="center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88" w:firstLineChars="200"/>
        <w:rPr>
          <w:rFonts w:ascii="宋体" w:hAnsi="宋体" w:eastAsia="宋体" w:cs="Times New Roman"/>
          <w:snapToGrid w:val="0"/>
          <w:spacing w:val="2"/>
          <w:sz w:val="24"/>
          <w:szCs w:val="24"/>
        </w:rPr>
      </w:pPr>
      <w:r>
        <w:rPr>
          <w:rFonts w:hint="eastAsia" w:ascii="宋体" w:hAnsi="宋体" w:eastAsia="宋体" w:cs="Times New Roman"/>
          <w:snapToGrid w:val="0"/>
          <w:spacing w:val="2"/>
          <w:sz w:val="24"/>
          <w:szCs w:val="24"/>
        </w:rPr>
        <w:t>“陕西省网络数据分析与智能处理重点实验室”针对“人、机、物”三元世界的融合产生了大规模的数据，如何感知、测量、利用这些网络大数据成为国民经济中许多行业面临的共同难题，瞄准国家网络空间战略性任务和大数据产业发展战略需求，结合“一带一路”战略的重要科技领域和学科发展前沿方向，紧密结合陕西大数据产业特征并辐射丝路沿线国家，以网络大数据为背景，开展大数据智能处理中的理论与关键技术研究，揭示网络数据的自然规律，提出网络数据计算的核心理论，围绕网络大数据新型处理理论、方法、模型与范式，网络大数据智能处理平台等关键问题开展创新性研究。</w:t>
      </w:r>
    </w:p>
    <w:p>
      <w:pPr>
        <w:adjustRightInd w:val="0"/>
        <w:snapToGrid w:val="0"/>
        <w:spacing w:line="360" w:lineRule="auto"/>
        <w:ind w:firstLine="488" w:firstLineChars="200"/>
        <w:rPr>
          <w:rFonts w:ascii="宋体" w:hAnsi="宋体" w:eastAsia="宋体" w:cs="Times New Roman"/>
          <w:snapToGrid w:val="0"/>
          <w:spacing w:val="2"/>
          <w:sz w:val="24"/>
          <w:szCs w:val="24"/>
        </w:rPr>
      </w:pPr>
      <w:r>
        <w:rPr>
          <w:rFonts w:hint="eastAsia" w:ascii="宋体" w:hAnsi="宋体" w:eastAsia="宋体" w:cs="Times New Roman"/>
          <w:snapToGrid w:val="0"/>
          <w:spacing w:val="2"/>
          <w:sz w:val="24"/>
          <w:szCs w:val="24"/>
        </w:rPr>
        <w:t>实验室主要由网络数据理解与表示研究室、大数据的计算模型与知识挖掘研究室、网络数据处理平台及应用研究研究室构成。</w:t>
      </w:r>
    </w:p>
    <w:p>
      <w:pPr>
        <w:adjustRightInd w:val="0"/>
        <w:snapToGrid w:val="0"/>
        <w:spacing w:line="360" w:lineRule="auto"/>
        <w:ind w:firstLine="488" w:firstLineChars="200"/>
        <w:rPr>
          <w:rFonts w:ascii="宋体" w:hAnsi="宋体" w:eastAsia="宋体" w:cs="Times New Roman"/>
          <w:snapToGrid w:val="0"/>
          <w:spacing w:val="2"/>
          <w:sz w:val="24"/>
          <w:szCs w:val="24"/>
        </w:rPr>
      </w:pPr>
      <w:r>
        <w:rPr>
          <w:rFonts w:hint="eastAsia" w:ascii="宋体" w:hAnsi="宋体" w:eastAsia="宋体" w:cs="Times New Roman"/>
          <w:snapToGrid w:val="0"/>
          <w:spacing w:val="2"/>
          <w:sz w:val="24"/>
          <w:szCs w:val="24"/>
        </w:rPr>
        <w:t xml:space="preserve">（1）网络数据理解与表示：面向非结构化网络数据的测量、表征与计算，多源、异质、富特征数据的统一表征与理解等基础理论开展工作，研究自然语言处理与信息抽取、多源异构数据归一化方法、研究具有跨媒体关联、强时效演变、多主体互动特性的网络数据建模与表达方式，探索其理解与表示的一般规律。 </w:t>
      </w:r>
    </w:p>
    <w:p>
      <w:pPr>
        <w:adjustRightInd w:val="0"/>
        <w:snapToGrid w:val="0"/>
        <w:spacing w:line="360" w:lineRule="auto"/>
        <w:ind w:firstLine="488" w:firstLineChars="200"/>
        <w:rPr>
          <w:rFonts w:ascii="宋体" w:hAnsi="宋体" w:eastAsia="宋体" w:cs="Times New Roman"/>
          <w:snapToGrid w:val="0"/>
          <w:spacing w:val="2"/>
          <w:sz w:val="24"/>
          <w:szCs w:val="24"/>
        </w:rPr>
      </w:pPr>
      <w:r>
        <w:rPr>
          <w:rFonts w:hint="eastAsia" w:ascii="宋体" w:hAnsi="宋体" w:eastAsia="宋体" w:cs="Times New Roman"/>
          <w:snapToGrid w:val="0"/>
          <w:spacing w:val="2"/>
          <w:sz w:val="24"/>
          <w:szCs w:val="24"/>
        </w:rPr>
        <w:t>（2）大数据的计算模型与知识挖掘：围绕大数据的计算模型，研究多源异构数据关联学习方法，探索异质信息网络构建与挖掘方法；研究面向大规模数据的进化优化算法；研究面向大数据的自主深度学习理论与方法；研究基于用户产生数据和用户交互行为的信息推荐方法。</w:t>
      </w:r>
    </w:p>
    <w:p>
      <w:pPr>
        <w:adjustRightInd w:val="0"/>
        <w:snapToGrid w:val="0"/>
        <w:spacing w:line="360" w:lineRule="auto"/>
        <w:ind w:firstLine="488" w:firstLineChars="200"/>
        <w:rPr>
          <w:rFonts w:ascii="宋体" w:hAnsi="宋体" w:eastAsia="宋体" w:cs="Times New Roman"/>
          <w:snapToGrid w:val="0"/>
          <w:spacing w:val="2"/>
          <w:sz w:val="24"/>
          <w:szCs w:val="24"/>
        </w:rPr>
      </w:pPr>
      <w:r>
        <w:rPr>
          <w:rFonts w:hint="eastAsia" w:ascii="宋体" w:hAnsi="宋体" w:eastAsia="宋体" w:cs="Times New Roman"/>
          <w:snapToGrid w:val="0"/>
          <w:spacing w:val="2"/>
          <w:sz w:val="24"/>
          <w:szCs w:val="24"/>
        </w:rPr>
        <w:t>（3）网络数据处理平台及应用研究。设计高效异构计算体系结构、研究异构数据自适应计算框架；以行业应用为引导，建立网络大数据的分析和挖掘的研究平台。在支持网络大数据智能处理科学研究的同时，支撑高价值的深网信息服务。</w:t>
      </w:r>
    </w:p>
    <w:p>
      <w:pPr>
        <w:spacing w:line="300" w:lineRule="auto"/>
        <w:jc w:val="center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br w:type="page"/>
      </w:r>
    </w:p>
    <w:p>
      <w:pPr>
        <w:spacing w:line="300" w:lineRule="auto"/>
        <w:jc w:val="center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陕西省网络数据分析与智能处理重点实验室</w:t>
      </w:r>
    </w:p>
    <w:p>
      <w:pPr>
        <w:spacing w:line="300" w:lineRule="auto"/>
        <w:jc w:val="center"/>
        <w:rPr>
          <w:rFonts w:cs="宋体" w:asciiTheme="minorEastAsia" w:hAnsi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2019年度开放课题指南</w:t>
      </w:r>
    </w:p>
    <w:p>
      <w:pPr>
        <w:spacing w:line="300" w:lineRule="auto"/>
        <w:jc w:val="center"/>
        <w:rPr>
          <w:rFonts w:cs="宋体" w:asciiTheme="minorEastAsia" w:hAnsiTheme="minorEastAsia"/>
          <w:b/>
          <w:bCs/>
          <w:color w:val="auto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4"/>
          <w:szCs w:val="24"/>
        </w:rPr>
        <w:t xml:space="preserve">1.面向工业互联网的5G异构融合网络关键技术研究 </w:t>
      </w:r>
      <w:r>
        <w:rPr>
          <w:rFonts w:hint="eastAsia" w:ascii="黑体" w:hAnsi="黑体" w:eastAsia="黑体" w:cs="黑体"/>
          <w:b/>
          <w:color w:val="auto"/>
          <w:sz w:val="48"/>
          <w:szCs w:val="48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主要研究内容: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针对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</w:rPr>
        <w:t>典型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离散制造场景，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</w:rPr>
        <w:t>建立多工厂兼容的工业互联网企业内/外网络，采用工业以太网、工业 PON、工业无线等技术，实现生产装备、仪器仪表、传感器、控制系统和管理系统等生产要素的互联互通；重点突破边缘计算、协议适配、多源异构数据融合等网络终端接入技术并应用。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预期研究结果：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</w:rPr>
        <w:t>提交研究报告，发表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  <w:lang w:val="en-US" w:eastAsia="zh-CN"/>
        </w:rPr>
        <w:t>SCI期刊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</w:rPr>
        <w:t>论文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</w:rPr>
        <w:t>篇，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  <w:lang w:val="en-US" w:eastAsia="zh-CN"/>
        </w:rPr>
        <w:t>申请国家发明专利2项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Theme="minorEastAsia" w:hAnsiTheme="minorEastAsia" w:cstheme="minorEastAsia"/>
          <w:b/>
          <w:color w:val="auto"/>
          <w:sz w:val="24"/>
          <w:szCs w:val="24"/>
          <w:lang w:val="en-US"/>
        </w:rPr>
      </w:pPr>
      <w:r>
        <w:rPr>
          <w:rFonts w:hint="eastAsia" w:asciiTheme="minorEastAsia" w:hAnsiTheme="minorEastAsia" w:cstheme="minorEastAsia"/>
          <w:b/>
          <w:color w:val="auto"/>
          <w:sz w:val="24"/>
          <w:szCs w:val="24"/>
        </w:rPr>
        <w:t>2.</w:t>
      </w:r>
      <w:r>
        <w:rPr>
          <w:rFonts w:hint="eastAsia" w:asciiTheme="minorEastAsia" w:hAnsiTheme="minorEastAsia" w:cstheme="minorEastAsia"/>
          <w:b/>
          <w:color w:val="auto"/>
          <w:sz w:val="24"/>
          <w:szCs w:val="24"/>
          <w:lang w:val="en-US" w:eastAsia="zh-CN"/>
        </w:rPr>
        <w:t>基于微服务的工业互联网大数据处理与分析平台构建方法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 xml:space="preserve">主要研究内容: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面向动态需求的工业大数据微服务构建方法。实现由传统单体式服务开发与应用向微服务体系的重构，完成针对工业制造领域中不同需求所涉及的装配过程建模，对加工、装配过程进行预测、分析和优化，实现灵活的、高效的部署。构建处理工业制造环境下多变需求的工业大数据微服务体系。 设计支持微服务动态注册与注销的模块管理方法；形成可扩展、可移植的工业大数据处理与分析平台构建方法。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预期研究结果：建立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服务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库（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服务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数不少于100个）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>提交研究报告，发表论文2篇，至少被SCI期刊收录1篇。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default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24"/>
          <w:szCs w:val="24"/>
        </w:rPr>
        <w:t>3. 政务大数据知识图谱的构</w:t>
      </w:r>
      <w:r>
        <w:rPr>
          <w:rFonts w:hint="eastAsia" w:asciiTheme="minorEastAsia" w:hAnsiTheme="minorEastAsia" w:cstheme="minorEastAsia"/>
          <w:b/>
          <w:color w:val="auto"/>
          <w:sz w:val="24"/>
          <w:szCs w:val="24"/>
          <w:lang w:val="en-US" w:eastAsia="zh-CN"/>
        </w:rPr>
        <w:t>建方法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主要</w:t>
      </w:r>
      <w:bookmarkStart w:id="0" w:name="_GoBack"/>
      <w:bookmarkEnd w:id="0"/>
      <w:r>
        <w:rPr>
          <w:rFonts w:hint="eastAsia" w:asciiTheme="minorEastAsia" w:hAnsiTheme="minorEastAsia" w:cstheme="minorEastAsia"/>
          <w:bCs/>
          <w:color w:val="auto"/>
          <w:sz w:val="24"/>
          <w:szCs w:val="24"/>
        </w:rPr>
        <w:t>研究内容：研究政务大数据的非结构化数据语义信息提取；多源政务数据的跨模态识别及关联，构建基于实体、事件等的政务数据知识图谱的方法；研究结合政务需求的数据挖掘技术和深度学习算法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Cs/>
          <w:color w:val="auto"/>
          <w:sz w:val="24"/>
          <w:szCs w:val="24"/>
        </w:rPr>
        <w:t>预期研究结果：提交研究报告，发表论文2篇，至少被SCI期刊收录1篇。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bCs/>
          <w:color w:val="auto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Cs/>
          <w:color w:val="auto"/>
          <w:sz w:val="24"/>
          <w:szCs w:val="24"/>
        </w:rPr>
        <w:t> 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color w:val="auto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b/>
          <w:color w:val="auto"/>
          <w:sz w:val="24"/>
          <w:szCs w:val="24"/>
        </w:rPr>
        <w:t>.  图神经网络在知识图谱上应用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主要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</w:rPr>
        <w:t>研究内容：研究图神经网络的模型及框架，提高图神经网络方法处理动态、可扩展和异质图结构的能力；研究注意力机制和门机制在图神经网络的应用及网络表示学习方法，研究图神经网络在知识图谱的知识推理、异常检测及推荐系统的应用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Cs/>
          <w:color w:val="auto"/>
          <w:sz w:val="24"/>
          <w:szCs w:val="24"/>
        </w:rPr>
        <w:t>预期研究结果：提交研究报告，发表论文2篇，至少被SCI期刊收录1篇。</w:t>
      </w: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color w:val="auto"/>
          <w:sz w:val="24"/>
          <w:szCs w:val="24"/>
        </w:rPr>
        <w:t>5.面向婴幼儿行为识别的疾病辅助诊断方法研究</w:t>
      </w:r>
    </w:p>
    <w:p>
      <w:pPr>
        <w:pStyle w:val="11"/>
        <w:tabs>
          <w:tab w:val="left" w:pos="105"/>
        </w:tabs>
        <w:spacing w:line="360" w:lineRule="auto"/>
        <w:ind w:firstLine="480" w:firstLineChars="200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主要研究内容: 研究基于计算机视觉技术的婴幼儿骨架关节点特征的捕捉；研究针对序列化的关节点数据进行特征工程的方法，实现头部、四肢及躯干行为的量化特征描述；研究针对婴幼儿的面部微表情的识别方法；实现系统化的诊断系统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bCs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预期研究结果：建立病例库（病例数不少于100个）；疾病风险评估精度高于85%，智能诊断准确率高于95%；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</w:rPr>
        <w:t>提交研究报告，发表论文2篇，至少被SCI期刊收录1篇。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bCs/>
          <w:color w:val="auto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cs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b/>
          <w:color w:val="auto"/>
          <w:sz w:val="24"/>
          <w:szCs w:val="24"/>
        </w:rPr>
        <w:t>6.基于人工智能技术的医学内窥镜数据分析及识别方法</w:t>
      </w:r>
    </w:p>
    <w:p>
      <w:pPr>
        <w:pStyle w:val="11"/>
        <w:tabs>
          <w:tab w:val="left" w:pos="105"/>
        </w:tabs>
        <w:spacing w:line="360" w:lineRule="auto"/>
        <w:ind w:firstLine="480" w:firstLineChars="200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主要研究内容: 利用电子内窥镜设备，针对耳鼻喉检查建立病状模型和病例库；从内镜视频/图像数据中提取相关数据参数，建立病状特征库；通过计算机视觉、人工智能等技术，构建计算机辅助诊断模型和实验验证系统，完成病状的自动化诊断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</w:rPr>
        <w:t>预期研究结果：建立不少于500例的病例库，平均识别准确率达到96%以上；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</w:rPr>
        <w:t>提交研究报告，发表论文2篇，至少被SCI期刊收录1篇。</w:t>
      </w:r>
    </w:p>
    <w:p>
      <w:pPr>
        <w:spacing w:line="360" w:lineRule="auto"/>
        <w:ind w:firstLine="480" w:firstLineChars="200"/>
        <w:rPr>
          <w:rFonts w:asciiTheme="minorEastAsia" w:hAnsiTheme="minorEastAsia" w:cstheme="minorEastAsia"/>
          <w:bCs/>
          <w:color w:val="auto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color w:val="auto"/>
          <w:sz w:val="24"/>
          <w:szCs w:val="24"/>
        </w:rPr>
      </w:pPr>
    </w:p>
    <w:p>
      <w:pPr>
        <w:rPr>
          <w:rFonts w:ascii="仿宋_GB2312" w:eastAsia="仿宋_GB2312"/>
          <w:color w:va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814FD"/>
    <w:rsid w:val="00027A89"/>
    <w:rsid w:val="000814FD"/>
    <w:rsid w:val="00097A9F"/>
    <w:rsid w:val="000C4B12"/>
    <w:rsid w:val="000F2041"/>
    <w:rsid w:val="00141EC5"/>
    <w:rsid w:val="001A082D"/>
    <w:rsid w:val="001E15F7"/>
    <w:rsid w:val="0025001F"/>
    <w:rsid w:val="00321C2B"/>
    <w:rsid w:val="00356D06"/>
    <w:rsid w:val="00464ECA"/>
    <w:rsid w:val="005307A2"/>
    <w:rsid w:val="00547C5D"/>
    <w:rsid w:val="0058031D"/>
    <w:rsid w:val="00585225"/>
    <w:rsid w:val="00597D63"/>
    <w:rsid w:val="006F7BE2"/>
    <w:rsid w:val="007B192F"/>
    <w:rsid w:val="008137E6"/>
    <w:rsid w:val="008F1469"/>
    <w:rsid w:val="00956A47"/>
    <w:rsid w:val="00957BE7"/>
    <w:rsid w:val="00972708"/>
    <w:rsid w:val="00973C9F"/>
    <w:rsid w:val="00AE7923"/>
    <w:rsid w:val="00B84662"/>
    <w:rsid w:val="00BB359F"/>
    <w:rsid w:val="00BC4DAF"/>
    <w:rsid w:val="00C022C8"/>
    <w:rsid w:val="00C139FE"/>
    <w:rsid w:val="00C24470"/>
    <w:rsid w:val="00C54F47"/>
    <w:rsid w:val="00C856AB"/>
    <w:rsid w:val="00D31965"/>
    <w:rsid w:val="00D3197F"/>
    <w:rsid w:val="00D73BE9"/>
    <w:rsid w:val="00E87914"/>
    <w:rsid w:val="00EA581A"/>
    <w:rsid w:val="00F51287"/>
    <w:rsid w:val="00F9772E"/>
    <w:rsid w:val="00FE631A"/>
    <w:rsid w:val="032B040A"/>
    <w:rsid w:val="0466366D"/>
    <w:rsid w:val="0E67513D"/>
    <w:rsid w:val="0FB66093"/>
    <w:rsid w:val="15B32F4F"/>
    <w:rsid w:val="17422E09"/>
    <w:rsid w:val="18091B6A"/>
    <w:rsid w:val="1E530307"/>
    <w:rsid w:val="20282DAE"/>
    <w:rsid w:val="23ED27A1"/>
    <w:rsid w:val="24642C44"/>
    <w:rsid w:val="26EF42D0"/>
    <w:rsid w:val="271D3C86"/>
    <w:rsid w:val="2A3506DB"/>
    <w:rsid w:val="2BC14EA1"/>
    <w:rsid w:val="2CFC5DB2"/>
    <w:rsid w:val="2FBC108A"/>
    <w:rsid w:val="339A0FA4"/>
    <w:rsid w:val="3823603F"/>
    <w:rsid w:val="39413FE0"/>
    <w:rsid w:val="39EA58BD"/>
    <w:rsid w:val="3F397D98"/>
    <w:rsid w:val="40F9257E"/>
    <w:rsid w:val="429A65F5"/>
    <w:rsid w:val="431605AD"/>
    <w:rsid w:val="48293C41"/>
    <w:rsid w:val="4AC044B9"/>
    <w:rsid w:val="51E042DE"/>
    <w:rsid w:val="5D2C37E9"/>
    <w:rsid w:val="60452656"/>
    <w:rsid w:val="63DA5C3A"/>
    <w:rsid w:val="68960A61"/>
    <w:rsid w:val="760C24F8"/>
    <w:rsid w:val="76AB765C"/>
    <w:rsid w:val="784E260C"/>
    <w:rsid w:val="7B5A4CA3"/>
    <w:rsid w:val="7D99156A"/>
    <w:rsid w:val="7ECB41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_Style 2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41C5A-3142-5047-90C3-D2BDAF2B3A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262</Words>
  <Characters>1497</Characters>
  <Lines>12</Lines>
  <Paragraphs>3</Paragraphs>
  <TotalTime>0</TotalTime>
  <ScaleCrop>false</ScaleCrop>
  <LinksUpToDate>false</LinksUpToDate>
  <CharactersWithSpaces>1756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2017-12-29T00:41:00Z</dcterms:created>
  <dc:creator>hp</dc:creator>
  <cp:lastModifiedBy>cyp</cp:lastModifiedBy>
  <cp:lastPrinted>2018-05-16T07:25:00Z</cp:lastPrinted>
  <dcterms:modified xsi:type="dcterms:W3CDTF">2019-09-24T00:46:51Z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